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AB" w:rsidRDefault="00F607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57AD7" wp14:editId="05764035">
                <wp:simplePos x="0" y="0"/>
                <wp:positionH relativeFrom="column">
                  <wp:posOffset>2230790</wp:posOffset>
                </wp:positionH>
                <wp:positionV relativeFrom="paragraph">
                  <wp:posOffset>466858</wp:posOffset>
                </wp:positionV>
                <wp:extent cx="4425950" cy="6350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FCD" w:rsidRPr="00876FCD" w:rsidRDefault="00876FCD">
                            <w:pP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00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006070"/>
                                <w:sz w:val="32"/>
                                <w:szCs w:val="32"/>
                              </w:rPr>
                              <w:t xml:space="preserve">Contract Administration Checklist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57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65pt;margin-top:36.75pt;width:348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" fillcolor="white [3201]" stroked="f" strokeweight=".5pt">
                <v:textbox>
                  <w:txbxContent>
                    <w:p w:rsidR="00876FCD" w:rsidRPr="00876FCD" w:rsidRDefault="00876FCD">
                      <w:pPr>
                        <w:rPr>
                          <w:rFonts w:ascii="Rajdhani SemiBold" w:hAnsi="Rajdhani SemiBold" w:cs="Rajdhani SemiBold"/>
                          <w:b/>
                          <w:bCs/>
                          <w:color w:val="006070"/>
                          <w:sz w:val="32"/>
                          <w:szCs w:val="32"/>
                        </w:rPr>
                      </w:pPr>
                      <w:r>
                        <w:rPr>
                          <w:rFonts w:ascii="Rajdhani SemiBold" w:hAnsi="Rajdhani SemiBold" w:cs="Rajdhani SemiBold"/>
                          <w:b/>
                          <w:bCs/>
                          <w:color w:val="006070"/>
                          <w:sz w:val="32"/>
                          <w:szCs w:val="32"/>
                        </w:rPr>
                        <w:t xml:space="preserve">Contract Administration Checklist </w:t>
                      </w:r>
                    </w:p>
                  </w:txbxContent>
                </v:textbox>
              </v:shape>
            </w:pict>
          </mc:Fallback>
        </mc:AlternateContent>
      </w:r>
      <w:r w:rsidR="003627AB">
        <w:rPr>
          <w:noProof/>
        </w:rPr>
        <w:drawing>
          <wp:inline distT="0" distB="0" distL="0" distR="0" wp14:anchorId="2489EA47" wp14:editId="59ED6209">
            <wp:extent cx="7335000" cy="13447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A_WordTemp_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000" cy="13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14"/>
        <w:tblW w:w="100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  <w:gridCol w:w="720"/>
      </w:tblGrid>
      <w:tr w:rsidR="00F074D6" w:rsidRPr="00F074D6" w:rsidTr="00876FCD"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Award the contract and post a notice of award on </w:t>
            </w:r>
            <w:proofErr w:type="spellStart"/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eVA</w:t>
            </w:r>
            <w:proofErr w:type="spellEnd"/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.  (If performance and payment bonds are required, be sure copies have been obtained and validity verified by confirming with surety underwriter prior to issuing the award.)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  <w:bookmarkEnd w:id="0"/>
          </w:p>
        </w:tc>
      </w:tr>
      <w:tr w:rsidR="00F074D6" w:rsidRPr="00F074D6" w:rsidTr="00876FCD">
        <w:trPr>
          <w:trHeight w:val="692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List contract on the agency’s master contract list or schedule to include period of performance and any renewal option(s) - this will allow for the planning of renewal or rebidding actions.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rPr>
                <w:rFonts w:ascii="Roboto Light" w:hAnsi="Roboto Light"/>
                <w:noProof/>
                <w:kern w:val="2"/>
                <w:sz w:val="12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</w:p>
        </w:tc>
      </w:tr>
      <w:tr w:rsidR="00F074D6" w:rsidRPr="00F074D6" w:rsidTr="00876FCD"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Appoint a contract administrator in writing outlining duties and responsibilities and any limitation of authority.  Duties may include the following:</w:t>
            </w:r>
          </w:p>
          <w:p w:rsidR="00876FCD" w:rsidRPr="00F074D6" w:rsidRDefault="00876FCD" w:rsidP="00876FCD">
            <w:pPr>
              <w:numPr>
                <w:ilvl w:val="0"/>
                <w:numId w:val="1"/>
              </w:num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Requirement for periodic evaluation reports of contractor performance and/or progress reports be furnished the purchasing office.</w:t>
            </w:r>
          </w:p>
          <w:p w:rsidR="00876FCD" w:rsidRPr="00F074D6" w:rsidRDefault="00876FCD" w:rsidP="00876FCD">
            <w:pPr>
              <w:numPr>
                <w:ilvl w:val="0"/>
                <w:numId w:val="1"/>
              </w:num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That maintenance manuals, parts lists and as-built drawing have been obtained prior to authorization of final payment or as required by contract terms.</w:t>
            </w:r>
          </w:p>
          <w:p w:rsidR="00876FCD" w:rsidRPr="00F074D6" w:rsidRDefault="00876FCD" w:rsidP="00876FCD">
            <w:pPr>
              <w:numPr>
                <w:ilvl w:val="0"/>
                <w:numId w:val="1"/>
              </w:num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A clear understanding of all contractor supplied warranties or bonding commitments.</w:t>
            </w:r>
          </w:p>
          <w:p w:rsidR="00876FCD" w:rsidRPr="00F074D6" w:rsidRDefault="00876FCD" w:rsidP="00876FCD">
            <w:pPr>
              <w:numPr>
                <w:ilvl w:val="0"/>
                <w:numId w:val="1"/>
              </w:num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The need to advise the purchasing office if changes to the contract, follow-up maintenance, or other services, etc., may be required.</w:t>
            </w:r>
          </w:p>
          <w:p w:rsidR="00876FCD" w:rsidRPr="00F074D6" w:rsidRDefault="00876FCD" w:rsidP="00876FCD">
            <w:pPr>
              <w:numPr>
                <w:ilvl w:val="0"/>
                <w:numId w:val="1"/>
              </w:num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Acceptance and approval of the receipt of goods and services and documenting the contractor’s invoices for approval of payment.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</w:tc>
      </w:tr>
      <w:tr w:rsidR="00F074D6" w:rsidRPr="00F074D6" w:rsidTr="00876FCD">
        <w:trPr>
          <w:trHeight w:val="44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Be sure the user has encumbered funds to pay for services which overlap fiscal years.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4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</w:p>
        </w:tc>
      </w:tr>
      <w:tr w:rsidR="00F074D6" w:rsidRPr="00F074D6" w:rsidTr="00876FCD">
        <w:trPr>
          <w:trHeight w:val="611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Provide a copy of the contract and any subsequent changes to accounts payable for invoicing/payment action verification.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12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</w:p>
        </w:tc>
      </w:tr>
      <w:tr w:rsidR="00F074D6" w:rsidRPr="00F074D6" w:rsidTr="00876FCD"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Establish and plot critical contract performance milestones required of contractor (e.g., checklist, progress reports or other written deliverables).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12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</w:p>
        </w:tc>
      </w:tr>
      <w:tr w:rsidR="00F074D6" w:rsidRPr="00F074D6" w:rsidTr="00876FCD"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Compile a tracking report on payments made against the contract.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</w:p>
        </w:tc>
      </w:tr>
      <w:tr w:rsidR="00F074D6" w:rsidRPr="00F074D6" w:rsidTr="00876FCD"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>If the contract can be renewed be sure that price and all other requirements are based upon conditions of the basic contract.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1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</w:p>
        </w:tc>
      </w:tr>
      <w:tr w:rsidR="00F074D6" w:rsidRPr="00F074D6" w:rsidTr="00876FCD"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spacing w:line="120" w:lineRule="exact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jc w:val="both"/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t xml:space="preserve">If contractor’s performance or delivery is unsatisfactory, complete a Vendor Complaint Form. 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4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</w:p>
          <w:p w:rsidR="00876FCD" w:rsidRPr="00F074D6" w:rsidRDefault="00876FCD" w:rsidP="00876FCD">
            <w:pPr>
              <w:tabs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  <w:tab w:val="left" w:pos="9792"/>
              </w:tabs>
              <w:spacing w:after="58"/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pP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instrText xml:space="preserve"> FORMCHECKBOX </w:instrText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</w:r>
            <w:r w:rsidR="00F074D6"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separate"/>
            </w:r>
            <w:r w:rsidRPr="00F074D6">
              <w:rPr>
                <w:rFonts w:ascii="Roboto Light" w:hAnsi="Roboto Light"/>
                <w:noProof/>
                <w:kern w:val="2"/>
                <w:sz w:val="20"/>
                <w:szCs w:val="20"/>
                <w14:textFill>
                  <w14:solidFill>
                    <w14:srgbClr w14:val="000000">
                      <w14:alpha w14:val="10000"/>
                    </w14:srgbClr>
                  </w14:solidFill>
                </w14:textFill>
              </w:rPr>
              <w:fldChar w:fldCharType="end"/>
            </w:r>
          </w:p>
        </w:tc>
      </w:tr>
    </w:tbl>
    <w:p w:rsidR="00F6075C" w:rsidRPr="00F074D6" w:rsidRDefault="00F6075C" w:rsidP="007D0ACA">
      <w:pPr>
        <w:spacing w:after="240"/>
        <w:ind w:left="900" w:right="720"/>
        <w:rPr>
          <w:rFonts w:ascii="Roboto Light" w:hAnsi="Roboto Light"/>
          <w:sz w:val="20"/>
          <w:szCs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p w:rsidR="007D0ACA" w:rsidRPr="00F074D6" w:rsidRDefault="007D0ACA" w:rsidP="00876FCD">
      <w:pPr>
        <w:spacing w:after="240"/>
        <w:ind w:right="720"/>
        <w:rPr>
          <w:rFonts w:ascii="Roboto Light" w:hAnsi="Roboto Light"/>
          <w:sz w:val="20"/>
          <w:szCs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p w:rsidR="00876FCD" w:rsidRPr="00F074D6" w:rsidRDefault="00876FCD" w:rsidP="00876FCD">
      <w:pPr>
        <w:rPr>
          <w:rFonts w:ascii="Roboto Light" w:hAnsi="Roboto Light"/>
          <w:sz w:val="20"/>
          <w:szCs w:val="20"/>
          <w14:textFill>
            <w14:solidFill>
              <w14:srgbClr w14:val="000000">
                <w14:alpha w14:val="10000"/>
              </w14:srgbClr>
            </w14:solidFill>
          </w14:textFill>
        </w:rPr>
      </w:pPr>
    </w:p>
    <w:p w:rsidR="00B4009D" w:rsidRPr="00F074D6" w:rsidRDefault="00B4009D" w:rsidP="00C64F9F">
      <w:pPr>
        <w:spacing w:line="300" w:lineRule="exact"/>
        <w:ind w:left="907"/>
        <w:rPr>
          <w:rFonts w:ascii="Roboto Light" w:hAnsi="Roboto Light"/>
          <w:sz w:val="20"/>
          <w:szCs w:val="20"/>
          <w14:textFill>
            <w14:solidFill>
              <w14:srgbClr w14:val="000000">
                <w14:alpha w14:val="10000"/>
              </w14:srgbClr>
            </w14:solidFill>
          </w14:textFill>
        </w:rPr>
      </w:pPr>
      <w:bookmarkStart w:id="1" w:name="_GoBack"/>
      <w:bookmarkEnd w:id="1"/>
    </w:p>
    <w:sectPr w:rsidR="00B4009D" w:rsidRPr="00F074D6" w:rsidSect="007D0ACA">
      <w:pgSz w:w="12240" w:h="15840"/>
      <w:pgMar w:top="0" w:right="15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jdhani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F505C"/>
    <w:multiLevelType w:val="hybridMultilevel"/>
    <w:tmpl w:val="3D3C75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CD"/>
    <w:rsid w:val="00032F4F"/>
    <w:rsid w:val="00112512"/>
    <w:rsid w:val="001F10D6"/>
    <w:rsid w:val="00211290"/>
    <w:rsid w:val="00235843"/>
    <w:rsid w:val="00295C1D"/>
    <w:rsid w:val="00304ECA"/>
    <w:rsid w:val="00334D9F"/>
    <w:rsid w:val="00340FE1"/>
    <w:rsid w:val="003627AB"/>
    <w:rsid w:val="004072BD"/>
    <w:rsid w:val="005148D8"/>
    <w:rsid w:val="00522ACE"/>
    <w:rsid w:val="0060171F"/>
    <w:rsid w:val="00612F6D"/>
    <w:rsid w:val="006455D1"/>
    <w:rsid w:val="00732587"/>
    <w:rsid w:val="0077479F"/>
    <w:rsid w:val="007D0ACA"/>
    <w:rsid w:val="008740F9"/>
    <w:rsid w:val="00874BFE"/>
    <w:rsid w:val="00876FCD"/>
    <w:rsid w:val="008824EF"/>
    <w:rsid w:val="008A472E"/>
    <w:rsid w:val="009502D6"/>
    <w:rsid w:val="009855AD"/>
    <w:rsid w:val="00994659"/>
    <w:rsid w:val="00A2029F"/>
    <w:rsid w:val="00A34FE0"/>
    <w:rsid w:val="00AA1711"/>
    <w:rsid w:val="00AB7E27"/>
    <w:rsid w:val="00AE4D38"/>
    <w:rsid w:val="00B1024A"/>
    <w:rsid w:val="00B2679A"/>
    <w:rsid w:val="00B4009D"/>
    <w:rsid w:val="00BD00A5"/>
    <w:rsid w:val="00C10159"/>
    <w:rsid w:val="00C15F0D"/>
    <w:rsid w:val="00C16DCA"/>
    <w:rsid w:val="00C25116"/>
    <w:rsid w:val="00C64F9F"/>
    <w:rsid w:val="00C72AF3"/>
    <w:rsid w:val="00D13215"/>
    <w:rsid w:val="00DB4055"/>
    <w:rsid w:val="00F074D6"/>
    <w:rsid w:val="00F46D32"/>
    <w:rsid w:val="00F6075C"/>
    <w:rsid w:val="00F67B12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A60D-E4A8-49D1-BC47-E4376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3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d97963\Documents\VITA%20Rebranding%20Updates%20to%20SCM%20Website%20Content\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750480B532F4AAEEDE2E21E042E11" ma:contentTypeVersion="7" ma:contentTypeDescription="Create a new document." ma:contentTypeScope="" ma:versionID="2972f3faad6934bcb961599d87379c71">
  <xsd:schema xmlns:xsd="http://www.w3.org/2001/XMLSchema" xmlns:xs="http://www.w3.org/2001/XMLSchema" xmlns:p="http://schemas.microsoft.com/office/2006/metadata/properties" xmlns:ns2="ed857f3c-19c6-46ce-9355-303c98f58058" targetNamespace="http://schemas.microsoft.com/office/2006/metadata/properties" ma:root="true" ma:fieldsID="7de0e9bf82071c6e1473e4215da40989" ns2:_="">
    <xsd:import namespace="ed857f3c-19c6-46ce-9355-303c98f58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57f3c-19c6-46ce-9355-303c98f58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991E05-AE8E-44CE-8FA5-1CEDC8D0F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57f3c-19c6-46ce-9355-303c98f58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090-14B1-40CD-A22B-559FE24ED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C1430-9312-4F0E-B490-766DB9EF5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56C53-1658-49F7-80F7-F76A2160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Word_Template.dotx</Template>
  <TotalTime>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Candler, Liz (VITA)</dc:creator>
  <cp:keywords/>
  <dc:description/>
  <cp:lastModifiedBy>Candler, Liz (VITA)</cp:lastModifiedBy>
  <cp:revision>2</cp:revision>
  <dcterms:created xsi:type="dcterms:W3CDTF">2020-10-02T19:03:00Z</dcterms:created>
  <dcterms:modified xsi:type="dcterms:W3CDTF">2020-10-02T20:29:00Z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0x0101002EE750480B532F4AAEEDE2E21E042E11</vt:lpwstr>
  </property>
</Properties>
</file>